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2B" w:rsidRDefault="004E2B2B" w:rsidP="004E2B2B">
      <w:pPr>
        <w:tabs>
          <w:tab w:val="left" w:pos="4820"/>
        </w:tabs>
        <w:spacing w:after="0"/>
        <w:rPr>
          <w:sz w:val="18"/>
          <w:szCs w:val="18"/>
        </w:rPr>
      </w:pPr>
      <w:r>
        <w:rPr>
          <w:noProof/>
          <w:lang w:eastAsia="it-IT"/>
        </w:rPr>
        <w:drawing>
          <wp:inline distT="0" distB="0" distL="0" distR="0" wp14:anchorId="76CD9C5B" wp14:editId="48F43410">
            <wp:extent cx="2019300" cy="920750"/>
            <wp:effectExtent l="0" t="0" r="0" b="0"/>
            <wp:docPr id="1" name="Immagine 1" descr="Image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4-1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920750"/>
                    </a:xfrm>
                    <a:prstGeom prst="rect">
                      <a:avLst/>
                    </a:prstGeom>
                    <a:noFill/>
                    <a:ln>
                      <a:noFill/>
                    </a:ln>
                  </pic:spPr>
                </pic:pic>
              </a:graphicData>
            </a:graphic>
          </wp:inline>
        </w:drawing>
      </w:r>
    </w:p>
    <w:p w:rsidR="004E2B2B" w:rsidRDefault="004E2B2B" w:rsidP="004E2B2B">
      <w:pPr>
        <w:tabs>
          <w:tab w:val="left" w:pos="1122"/>
        </w:tabs>
        <w:spacing w:after="0"/>
        <w:rPr>
          <w:sz w:val="18"/>
          <w:szCs w:val="18"/>
        </w:rPr>
      </w:pPr>
      <w:r>
        <w:rPr>
          <w:sz w:val="18"/>
          <w:szCs w:val="18"/>
        </w:rPr>
        <w:tab/>
        <w:t>Associazione delle organizzazioni di ingegneria,</w:t>
      </w:r>
    </w:p>
    <w:p w:rsidR="004E2B2B" w:rsidRDefault="004E2B2B" w:rsidP="004E2B2B">
      <w:pPr>
        <w:tabs>
          <w:tab w:val="left" w:pos="1122"/>
        </w:tabs>
        <w:spacing w:after="0"/>
        <w:rPr>
          <w:sz w:val="18"/>
          <w:szCs w:val="18"/>
        </w:rPr>
      </w:pPr>
      <w:r>
        <w:rPr>
          <w:sz w:val="18"/>
          <w:szCs w:val="18"/>
        </w:rPr>
        <w:tab/>
      </w:r>
      <w:proofErr w:type="gramStart"/>
      <w:r>
        <w:rPr>
          <w:sz w:val="18"/>
          <w:szCs w:val="18"/>
        </w:rPr>
        <w:t>di</w:t>
      </w:r>
      <w:proofErr w:type="gramEnd"/>
      <w:r>
        <w:rPr>
          <w:sz w:val="18"/>
          <w:szCs w:val="18"/>
        </w:rPr>
        <w:t xml:space="preserve"> architettura e di consulenza tecnico-economica</w:t>
      </w:r>
    </w:p>
    <w:p w:rsidR="004E2B2B" w:rsidRDefault="004E2B2B" w:rsidP="004E2B2B">
      <w:pPr>
        <w:tabs>
          <w:tab w:val="left" w:pos="1111"/>
        </w:tabs>
        <w:spacing w:after="0"/>
      </w:pPr>
      <w:r>
        <w:tab/>
      </w:r>
      <w:r>
        <w:fldChar w:fldCharType="begin"/>
      </w:r>
      <w:r>
        <w:instrText xml:space="preserve"> INCLUDEPICTURE "http://www.confindustria.it/comunica/NewsCirc.nsf/e65acb38763975c0c1256974004b3660/ed9db59a131554fbc1256d2b004a3bee/Body/0.2634?OpenElement&amp;FieldElemFormat=gif" \* MERGEFORMATINET </w:instrText>
      </w:r>
      <w:r>
        <w:fldChar w:fldCharType="separate"/>
      </w:r>
      <w:r>
        <w:fldChar w:fldCharType="begin"/>
      </w:r>
      <w:r>
        <w:instrText xml:space="preserve"> INCLUDEPICTURE  "http://www.confindustria.it/comunica/NewsCirc.nsf/e65acb38763975c0c1256974004b3660/ed9db59a131554fbc1256d2b004a3bee/Body/0.2634?OpenElement&amp;FieldElemFormat=gif"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28pt">
            <v:imagedata r:id="rId7" r:href="rId8"/>
          </v:shape>
        </w:pict>
      </w:r>
      <w:r>
        <w:fldChar w:fldCharType="end"/>
      </w:r>
      <w:r>
        <w:fldChar w:fldCharType="end"/>
      </w:r>
    </w:p>
    <w:p w:rsidR="004E2B2B" w:rsidRDefault="004E2B2B" w:rsidP="004E2B2B">
      <w:pPr>
        <w:tabs>
          <w:tab w:val="left" w:pos="1111"/>
        </w:tabs>
        <w:spacing w:after="0"/>
      </w:pPr>
    </w:p>
    <w:p w:rsidR="004E2B2B" w:rsidRDefault="004E2B2B" w:rsidP="004E2B2B">
      <w:pPr>
        <w:tabs>
          <w:tab w:val="left" w:pos="1111"/>
        </w:tabs>
        <w:spacing w:after="0"/>
        <w:sectPr w:rsidR="004E2B2B" w:rsidSect="00EF5A56">
          <w:footerReference w:type="default" r:id="rId9"/>
          <w:pgSz w:w="11906" w:h="16838" w:code="9"/>
          <w:pgMar w:top="567" w:right="454" w:bottom="1134" w:left="454" w:header="567" w:footer="567" w:gutter="0"/>
          <w:cols w:space="709"/>
        </w:sectPr>
      </w:pPr>
    </w:p>
    <w:p w:rsidR="004E2B2B" w:rsidRPr="00CA4C6C" w:rsidRDefault="004E2B2B" w:rsidP="004E2B2B">
      <w:pPr>
        <w:spacing w:after="0" w:line="240" w:lineRule="auto"/>
        <w:jc w:val="right"/>
        <w:rPr>
          <w:rFonts w:cstheme="minorHAnsi"/>
          <w:sz w:val="24"/>
          <w:szCs w:val="24"/>
        </w:rPr>
      </w:pPr>
      <w:r w:rsidRPr="00CA4C6C">
        <w:rPr>
          <w:rFonts w:cstheme="minorHAnsi"/>
          <w:sz w:val="24"/>
          <w:szCs w:val="24"/>
        </w:rPr>
        <w:t>Roma, 3 agosto 2023</w:t>
      </w:r>
    </w:p>
    <w:p w:rsidR="004E2B2B" w:rsidRDefault="004E2B2B" w:rsidP="004E2B2B">
      <w:pPr>
        <w:spacing w:after="0" w:line="240" w:lineRule="auto"/>
        <w:rPr>
          <w:rFonts w:eastAsia="Times New Roman" w:cstheme="minorHAnsi"/>
          <w:b/>
          <w:sz w:val="24"/>
          <w:szCs w:val="24"/>
          <w:lang w:eastAsia="it-IT"/>
        </w:rPr>
      </w:pPr>
    </w:p>
    <w:p w:rsidR="004E2B2B" w:rsidRPr="004E2B2B" w:rsidRDefault="004E2B2B" w:rsidP="004E2B2B">
      <w:pPr>
        <w:spacing w:after="0" w:line="240" w:lineRule="auto"/>
        <w:rPr>
          <w:rFonts w:eastAsia="Times New Roman" w:cstheme="minorHAnsi"/>
          <w:b/>
          <w:sz w:val="24"/>
          <w:szCs w:val="24"/>
          <w:lang w:eastAsia="it-IT"/>
        </w:rPr>
      </w:pPr>
    </w:p>
    <w:p w:rsidR="000B33FB" w:rsidRPr="000B33FB" w:rsidRDefault="000B33FB" w:rsidP="004E2B2B">
      <w:pPr>
        <w:spacing w:after="0" w:line="240" w:lineRule="auto"/>
        <w:jc w:val="center"/>
        <w:rPr>
          <w:rFonts w:eastAsia="Times New Roman" w:cstheme="minorHAnsi"/>
          <w:b/>
          <w:sz w:val="24"/>
          <w:szCs w:val="24"/>
          <w:lang w:eastAsia="it-IT"/>
        </w:rPr>
      </w:pPr>
      <w:r w:rsidRPr="000B33FB">
        <w:rPr>
          <w:rFonts w:eastAsia="Times New Roman" w:cstheme="minorHAnsi"/>
          <w:b/>
          <w:sz w:val="24"/>
          <w:szCs w:val="24"/>
          <w:lang w:eastAsia="it-IT"/>
        </w:rPr>
        <w:t>COMUNICATO STAMPA</w:t>
      </w:r>
    </w:p>
    <w:p w:rsidR="000B33FB" w:rsidRDefault="000B33FB" w:rsidP="004E2B2B">
      <w:pPr>
        <w:spacing w:after="0" w:line="240" w:lineRule="auto"/>
        <w:jc w:val="center"/>
        <w:rPr>
          <w:rFonts w:eastAsia="Times New Roman" w:cstheme="minorHAnsi"/>
          <w:b/>
          <w:sz w:val="24"/>
          <w:szCs w:val="24"/>
          <w:lang w:eastAsia="it-IT"/>
        </w:rPr>
      </w:pPr>
      <w:r w:rsidRPr="000B33FB">
        <w:rPr>
          <w:rFonts w:eastAsia="Times New Roman" w:cstheme="minorHAnsi"/>
          <w:b/>
          <w:sz w:val="24"/>
          <w:szCs w:val="24"/>
          <w:lang w:eastAsia="it-IT"/>
        </w:rPr>
        <w:t xml:space="preserve">Equo compenso e requisiti, </w:t>
      </w:r>
      <w:r w:rsidRPr="004E2B2B">
        <w:rPr>
          <w:rFonts w:eastAsia="Times New Roman" w:cstheme="minorHAnsi"/>
          <w:b/>
          <w:sz w:val="24"/>
          <w:szCs w:val="24"/>
          <w:lang w:eastAsia="it-IT"/>
        </w:rPr>
        <w:t>OICE</w:t>
      </w:r>
      <w:r w:rsidRPr="000B33FB">
        <w:rPr>
          <w:rFonts w:eastAsia="Times New Roman" w:cstheme="minorHAnsi"/>
          <w:b/>
          <w:sz w:val="24"/>
          <w:szCs w:val="24"/>
          <w:lang w:eastAsia="it-IT"/>
        </w:rPr>
        <w:t>: opportuno un coordinamento normativo e un chiarimento per dare piena attuazione al Codice evitando contenziosi, ritardi e scelte discrezionali.</w:t>
      </w:r>
    </w:p>
    <w:p w:rsidR="004E2B2B" w:rsidRPr="000B33FB" w:rsidRDefault="004E2B2B" w:rsidP="004E2B2B">
      <w:pPr>
        <w:spacing w:after="0" w:line="240" w:lineRule="auto"/>
        <w:rPr>
          <w:rFonts w:eastAsia="Times New Roman" w:cstheme="minorHAnsi"/>
          <w:b/>
          <w:sz w:val="24"/>
          <w:szCs w:val="24"/>
          <w:lang w:eastAsia="it-IT"/>
        </w:rPr>
      </w:pPr>
    </w:p>
    <w:p w:rsidR="004E2B2B" w:rsidRDefault="000B33FB" w:rsidP="004E2B2B">
      <w:pPr>
        <w:spacing w:after="0" w:line="240" w:lineRule="auto"/>
        <w:jc w:val="center"/>
        <w:rPr>
          <w:rFonts w:eastAsia="Times New Roman" w:cstheme="minorHAnsi"/>
          <w:b/>
          <w:sz w:val="24"/>
          <w:szCs w:val="24"/>
          <w:lang w:eastAsia="it-IT"/>
        </w:rPr>
      </w:pPr>
      <w:r w:rsidRPr="000B33FB">
        <w:rPr>
          <w:rFonts w:eastAsia="Times New Roman" w:cstheme="minorHAnsi"/>
          <w:b/>
          <w:sz w:val="24"/>
          <w:szCs w:val="24"/>
          <w:lang w:eastAsia="it-IT"/>
        </w:rPr>
        <w:t xml:space="preserve">La strana ipotesi di gare pubbliche a prezzo fisso determinerebbe un aumento della spesa pubblica del 30% e metterebbe a rischio tutte le procedure per servizi professionali </w:t>
      </w:r>
    </w:p>
    <w:p w:rsidR="000B33FB" w:rsidRPr="000B33FB" w:rsidRDefault="000B33FB" w:rsidP="004E2B2B">
      <w:pPr>
        <w:spacing w:after="0" w:line="240" w:lineRule="auto"/>
        <w:jc w:val="center"/>
        <w:rPr>
          <w:rFonts w:eastAsia="Times New Roman" w:cstheme="minorHAnsi"/>
          <w:b/>
          <w:sz w:val="24"/>
          <w:szCs w:val="24"/>
          <w:lang w:eastAsia="it-IT"/>
        </w:rPr>
      </w:pPr>
      <w:proofErr w:type="gramStart"/>
      <w:r w:rsidRPr="000B33FB">
        <w:rPr>
          <w:rFonts w:eastAsia="Times New Roman" w:cstheme="minorHAnsi"/>
          <w:b/>
          <w:sz w:val="24"/>
          <w:szCs w:val="24"/>
          <w:lang w:eastAsia="it-IT"/>
        </w:rPr>
        <w:t>bandite</w:t>
      </w:r>
      <w:proofErr w:type="gramEnd"/>
      <w:r w:rsidRPr="000B33FB">
        <w:rPr>
          <w:rFonts w:eastAsia="Times New Roman" w:cstheme="minorHAnsi"/>
          <w:b/>
          <w:sz w:val="24"/>
          <w:szCs w:val="24"/>
          <w:lang w:eastAsia="it-IT"/>
        </w:rPr>
        <w:t xml:space="preserve"> dopo il 20 maggio</w:t>
      </w:r>
    </w:p>
    <w:p w:rsidR="000B33FB" w:rsidRDefault="000B33FB" w:rsidP="004E2B2B">
      <w:pPr>
        <w:spacing w:after="0" w:line="240" w:lineRule="auto"/>
        <w:jc w:val="both"/>
        <w:rPr>
          <w:rFonts w:eastAsia="Times New Roman" w:cstheme="minorHAnsi"/>
          <w:sz w:val="24"/>
          <w:szCs w:val="24"/>
          <w:lang w:eastAsia="it-IT"/>
        </w:rPr>
      </w:pPr>
    </w:p>
    <w:p w:rsidR="004E2B2B" w:rsidRPr="000B33FB" w:rsidRDefault="004E2B2B" w:rsidP="004E2B2B">
      <w:pPr>
        <w:spacing w:after="0" w:line="240" w:lineRule="auto"/>
        <w:jc w:val="both"/>
        <w:rPr>
          <w:rFonts w:eastAsia="Times New Roman" w:cstheme="minorHAnsi"/>
          <w:sz w:val="24"/>
          <w:szCs w:val="24"/>
          <w:lang w:eastAsia="it-IT"/>
        </w:rPr>
      </w:pPr>
    </w:p>
    <w:p w:rsidR="000B33FB" w:rsidRDefault="000B33FB" w:rsidP="004E2B2B">
      <w:pPr>
        <w:spacing w:after="0" w:line="240" w:lineRule="auto"/>
        <w:ind w:firstLine="708"/>
        <w:jc w:val="both"/>
        <w:rPr>
          <w:rFonts w:eastAsia="Times New Roman" w:cstheme="minorHAnsi"/>
          <w:sz w:val="24"/>
          <w:szCs w:val="24"/>
          <w:lang w:eastAsia="it-IT"/>
        </w:rPr>
      </w:pPr>
      <w:r w:rsidRPr="000B33FB">
        <w:rPr>
          <w:rFonts w:eastAsia="Times New Roman" w:cstheme="minorHAnsi"/>
          <w:sz w:val="24"/>
          <w:szCs w:val="24"/>
          <w:lang w:eastAsia="it-IT"/>
        </w:rPr>
        <w:t>L’Associazione delle società di ingegneria e architettura, ader</w:t>
      </w:r>
      <w:r w:rsidRPr="004E2B2B">
        <w:rPr>
          <w:rFonts w:eastAsia="Times New Roman" w:cstheme="minorHAnsi"/>
          <w:sz w:val="24"/>
          <w:szCs w:val="24"/>
          <w:lang w:eastAsia="it-IT"/>
        </w:rPr>
        <w:t xml:space="preserve">ente a </w:t>
      </w:r>
      <w:r w:rsidRPr="000B33FB">
        <w:rPr>
          <w:rFonts w:eastAsia="Times New Roman" w:cstheme="minorHAnsi"/>
          <w:sz w:val="24"/>
          <w:szCs w:val="24"/>
          <w:lang w:eastAsia="it-IT"/>
        </w:rPr>
        <w:t>Confindustria, scende in campo a supporto della piena attuazione del Codice segnalando i rischi derivanti dal mancato coordinamento fra codice appalti e legge 49/2023 (sull’equo compenso) per evitare la strana ipotesi di impostare le gare per servi</w:t>
      </w:r>
      <w:r w:rsidRPr="004E2B2B">
        <w:rPr>
          <w:rFonts w:eastAsia="Times New Roman" w:cstheme="minorHAnsi"/>
          <w:sz w:val="24"/>
          <w:szCs w:val="24"/>
          <w:lang w:eastAsia="it-IT"/>
        </w:rPr>
        <w:t xml:space="preserve">zi tecnici con </w:t>
      </w:r>
      <w:r w:rsidRPr="000B33FB">
        <w:rPr>
          <w:rFonts w:eastAsia="Times New Roman" w:cstheme="minorHAnsi"/>
          <w:sz w:val="24"/>
          <w:szCs w:val="24"/>
          <w:lang w:eastAsia="it-IT"/>
        </w:rPr>
        <w:t>prezzo fisso e ribasso sulle sole spese e quelli connessi ad un eccessivo restringimento del mercato con la richiesta di requisiti su solo tre anni.</w:t>
      </w:r>
    </w:p>
    <w:p w:rsidR="004E2B2B" w:rsidRPr="000B33FB" w:rsidRDefault="004E2B2B" w:rsidP="004E2B2B">
      <w:pPr>
        <w:spacing w:after="0" w:line="240" w:lineRule="auto"/>
        <w:jc w:val="both"/>
        <w:rPr>
          <w:rFonts w:eastAsia="Times New Roman" w:cstheme="minorHAnsi"/>
          <w:sz w:val="24"/>
          <w:szCs w:val="24"/>
          <w:lang w:eastAsia="it-IT"/>
        </w:rPr>
      </w:pPr>
    </w:p>
    <w:p w:rsidR="000B33FB" w:rsidRPr="000B33FB" w:rsidRDefault="000B33FB" w:rsidP="004E2B2B">
      <w:pPr>
        <w:spacing w:after="0" w:line="240" w:lineRule="auto"/>
        <w:ind w:firstLine="708"/>
        <w:jc w:val="both"/>
        <w:rPr>
          <w:rFonts w:eastAsia="Times New Roman" w:cstheme="minorHAnsi"/>
          <w:sz w:val="24"/>
          <w:szCs w:val="24"/>
          <w:lang w:eastAsia="it-IT"/>
        </w:rPr>
      </w:pPr>
      <w:r w:rsidRPr="000B33FB">
        <w:rPr>
          <w:rFonts w:eastAsia="Times New Roman" w:cstheme="minorHAnsi"/>
          <w:sz w:val="24"/>
          <w:szCs w:val="24"/>
          <w:lang w:eastAsia="it-IT"/>
        </w:rPr>
        <w:t xml:space="preserve">Per Giorgio </w:t>
      </w:r>
      <w:proofErr w:type="spellStart"/>
      <w:r w:rsidRPr="000B33FB">
        <w:rPr>
          <w:rFonts w:eastAsia="Times New Roman" w:cstheme="minorHAnsi"/>
          <w:sz w:val="24"/>
          <w:szCs w:val="24"/>
          <w:lang w:eastAsia="it-IT"/>
        </w:rPr>
        <w:t>Lupoi</w:t>
      </w:r>
      <w:proofErr w:type="spellEnd"/>
      <w:r w:rsidRPr="000B33FB">
        <w:rPr>
          <w:rFonts w:eastAsia="Times New Roman" w:cstheme="minorHAnsi"/>
          <w:sz w:val="24"/>
          <w:szCs w:val="24"/>
          <w:lang w:eastAsia="it-IT"/>
        </w:rPr>
        <w:t xml:space="preserve">, </w:t>
      </w:r>
      <w:r w:rsidRPr="004E2B2B">
        <w:rPr>
          <w:rFonts w:eastAsia="Times New Roman" w:cstheme="minorHAnsi"/>
          <w:sz w:val="24"/>
          <w:szCs w:val="24"/>
          <w:lang w:eastAsia="it-IT"/>
        </w:rPr>
        <w:t xml:space="preserve">Presidente </w:t>
      </w:r>
      <w:r w:rsidRPr="000B33FB">
        <w:rPr>
          <w:rFonts w:eastAsia="Times New Roman" w:cstheme="minorHAnsi"/>
          <w:sz w:val="24"/>
          <w:szCs w:val="24"/>
          <w:lang w:eastAsia="it-IT"/>
        </w:rPr>
        <w:t>dell’Associazione “</w:t>
      </w:r>
      <w:r w:rsidRPr="000B33FB">
        <w:rPr>
          <w:rFonts w:eastAsia="Times New Roman" w:cstheme="minorHAnsi"/>
          <w:i/>
          <w:sz w:val="24"/>
          <w:szCs w:val="24"/>
          <w:lang w:eastAsia="it-IT"/>
        </w:rPr>
        <w:t>La legge 49 è una conquista importante; parte da presupposti condivisibili e tutela giustamente</w:t>
      </w:r>
      <w:r w:rsidR="00014C46" w:rsidRPr="004E2B2B">
        <w:rPr>
          <w:rFonts w:eastAsia="Times New Roman" w:cstheme="minorHAnsi"/>
          <w:i/>
          <w:sz w:val="24"/>
          <w:szCs w:val="24"/>
          <w:lang w:eastAsia="it-IT"/>
        </w:rPr>
        <w:t>,</w:t>
      </w:r>
      <w:r w:rsidRPr="000B33FB">
        <w:rPr>
          <w:rFonts w:eastAsia="Times New Roman" w:cstheme="minorHAnsi"/>
          <w:i/>
          <w:sz w:val="24"/>
          <w:szCs w:val="24"/>
          <w:lang w:eastAsia="it-IT"/>
        </w:rPr>
        <w:t xml:space="preserve"> soprattutto nel settore privato</w:t>
      </w:r>
      <w:r w:rsidR="00014C46" w:rsidRPr="004E2B2B">
        <w:rPr>
          <w:rFonts w:eastAsia="Times New Roman" w:cstheme="minorHAnsi"/>
          <w:i/>
          <w:sz w:val="24"/>
          <w:szCs w:val="24"/>
          <w:lang w:eastAsia="it-IT"/>
        </w:rPr>
        <w:t>,</w:t>
      </w:r>
      <w:r w:rsidRPr="000B33FB">
        <w:rPr>
          <w:rFonts w:eastAsia="Times New Roman" w:cstheme="minorHAnsi"/>
          <w:i/>
          <w:sz w:val="24"/>
          <w:szCs w:val="24"/>
          <w:lang w:eastAsia="it-IT"/>
        </w:rPr>
        <w:t xml:space="preserve"> i professionisti che operano in posizione di asimmetria e debolezza rispetto ai committenti, ma la sua estensione al settore pubblico deve essere coordinata per evitare ritardi e contenziosi”.</w:t>
      </w:r>
    </w:p>
    <w:p w:rsidR="004E2B2B" w:rsidRDefault="004E2B2B" w:rsidP="004E2B2B">
      <w:pPr>
        <w:spacing w:after="0" w:line="240" w:lineRule="auto"/>
        <w:jc w:val="both"/>
        <w:rPr>
          <w:rFonts w:eastAsia="Times New Roman" w:cstheme="minorHAnsi"/>
          <w:sz w:val="24"/>
          <w:szCs w:val="24"/>
          <w:lang w:eastAsia="it-IT"/>
        </w:rPr>
      </w:pPr>
    </w:p>
    <w:p w:rsidR="000B33FB" w:rsidRPr="000B33FB" w:rsidRDefault="000B33FB" w:rsidP="004E2B2B">
      <w:pPr>
        <w:spacing w:after="0" w:line="240" w:lineRule="auto"/>
        <w:ind w:firstLine="708"/>
        <w:jc w:val="both"/>
        <w:rPr>
          <w:rFonts w:eastAsia="Times New Roman" w:cstheme="minorHAnsi"/>
          <w:sz w:val="24"/>
          <w:szCs w:val="24"/>
          <w:lang w:eastAsia="it-IT"/>
        </w:rPr>
      </w:pPr>
      <w:r w:rsidRPr="000B33FB">
        <w:rPr>
          <w:rFonts w:eastAsia="Times New Roman" w:cstheme="minorHAnsi"/>
          <w:sz w:val="24"/>
          <w:szCs w:val="24"/>
          <w:lang w:eastAsia="it-IT"/>
        </w:rPr>
        <w:t>La criticità risiede nel fatto che i compensi ministeriali per le prestazioni tecniche, oggi recepiti negli allegati al codice appalti, in base alla legge 49 se violati comportano la nullità delle clausole contrattuali e l’impugnabilità degli esiti delle gare da parte di qualunque professionista, una situazione che mette a rischio ogni gara, da quelle del PNRR a tutte le altre. Non è peraltro un caso che a luglio soltanto due siano state le gare di progettazione emesse con le regole del nuovo codice, comunque sempre con ribasso sui compensi. Adesso però, in linea teorica, queste due gare e tutte le altre bandite dal 20 maggio, data di entrata in vigore della legge 49, in poi potrebbero essere a rischio per violazione dell’equo compenso.</w:t>
      </w:r>
    </w:p>
    <w:p w:rsidR="004E2B2B" w:rsidRDefault="004E2B2B" w:rsidP="004E2B2B">
      <w:pPr>
        <w:spacing w:after="0" w:line="240" w:lineRule="auto"/>
        <w:jc w:val="both"/>
        <w:rPr>
          <w:rFonts w:eastAsia="Times New Roman" w:cstheme="minorHAnsi"/>
          <w:sz w:val="24"/>
          <w:szCs w:val="24"/>
          <w:lang w:eastAsia="it-IT"/>
        </w:rPr>
      </w:pPr>
    </w:p>
    <w:p w:rsidR="004E2B2B" w:rsidRDefault="000B33FB" w:rsidP="004E2B2B">
      <w:pPr>
        <w:spacing w:after="0" w:line="240" w:lineRule="auto"/>
        <w:ind w:firstLine="708"/>
        <w:jc w:val="both"/>
        <w:rPr>
          <w:rFonts w:eastAsia="Times New Roman" w:cstheme="minorHAnsi"/>
          <w:i/>
          <w:sz w:val="24"/>
          <w:szCs w:val="24"/>
          <w:lang w:eastAsia="it-IT"/>
        </w:rPr>
      </w:pPr>
      <w:r w:rsidRPr="000B33FB">
        <w:rPr>
          <w:rFonts w:eastAsia="Times New Roman" w:cstheme="minorHAnsi"/>
          <w:sz w:val="24"/>
          <w:szCs w:val="24"/>
          <w:lang w:eastAsia="it-IT"/>
        </w:rPr>
        <w:t xml:space="preserve">Per Giorgio </w:t>
      </w:r>
      <w:proofErr w:type="spellStart"/>
      <w:r w:rsidRPr="000B33FB">
        <w:rPr>
          <w:rFonts w:eastAsia="Times New Roman" w:cstheme="minorHAnsi"/>
          <w:sz w:val="24"/>
          <w:szCs w:val="24"/>
          <w:lang w:eastAsia="it-IT"/>
        </w:rPr>
        <w:t>Lupoi</w:t>
      </w:r>
      <w:proofErr w:type="spellEnd"/>
      <w:r w:rsidRPr="000B33FB">
        <w:rPr>
          <w:rFonts w:eastAsia="Times New Roman" w:cstheme="minorHAnsi"/>
          <w:sz w:val="24"/>
          <w:szCs w:val="24"/>
          <w:lang w:eastAsia="it-IT"/>
        </w:rPr>
        <w:t xml:space="preserve"> “</w:t>
      </w:r>
      <w:r w:rsidRPr="000B33FB">
        <w:rPr>
          <w:rFonts w:eastAsia="Times New Roman" w:cstheme="minorHAnsi"/>
          <w:i/>
          <w:sz w:val="24"/>
          <w:szCs w:val="24"/>
          <w:lang w:eastAsia="it-IT"/>
        </w:rPr>
        <w:t>ovviamente si tratta di una mera ipotesi di scuola che la dice lunga però sulla necessità di un coordinamento: una cosa è chiedere che si stimino i compensi a base di gara correttamente applicando sempre i regolamenti ministeriali, altro è dedurre dal contenuto della legge che si possa immaginare un ritorno al sistema delle gare a prezzo fisso tipiche dell’epoca dei minimi inderogabili, più volte censurati e livello europeo, che ha come effetto soltanto lo spostamento sulla discrezionalità della scelta, senza rapporto qualità/prezzo e senza incentivo a migliorare la qualità</w:t>
      </w:r>
      <w:r w:rsidRPr="004E2B2B">
        <w:rPr>
          <w:rFonts w:eastAsia="Times New Roman" w:cstheme="minorHAnsi"/>
          <w:i/>
          <w:sz w:val="24"/>
          <w:szCs w:val="24"/>
          <w:lang w:eastAsia="it-IT"/>
        </w:rPr>
        <w:t xml:space="preserve"> dei servizi offerti. Peraltro </w:t>
      </w:r>
      <w:r w:rsidRPr="000B33FB">
        <w:rPr>
          <w:rFonts w:eastAsia="Times New Roman" w:cstheme="minorHAnsi"/>
          <w:i/>
          <w:sz w:val="24"/>
          <w:szCs w:val="24"/>
          <w:lang w:eastAsia="it-IT"/>
        </w:rPr>
        <w:t xml:space="preserve">l’articolo 13 della legge 49 parla di invarianza </w:t>
      </w:r>
      <w:r w:rsidR="004E2B2B">
        <w:rPr>
          <w:rFonts w:eastAsia="Times New Roman" w:cstheme="minorHAnsi"/>
          <w:i/>
          <w:sz w:val="24"/>
          <w:szCs w:val="24"/>
          <w:lang w:eastAsia="it-IT"/>
        </w:rPr>
        <w:br/>
      </w:r>
    </w:p>
    <w:p w:rsidR="004E2B2B" w:rsidRDefault="004E2B2B" w:rsidP="004E2B2B">
      <w:pPr>
        <w:spacing w:after="0" w:line="240" w:lineRule="auto"/>
        <w:ind w:firstLine="708"/>
        <w:jc w:val="right"/>
        <w:rPr>
          <w:rFonts w:eastAsia="Times New Roman" w:cstheme="minorHAnsi"/>
          <w:sz w:val="24"/>
          <w:szCs w:val="24"/>
          <w:lang w:eastAsia="it-IT"/>
        </w:rPr>
        <w:sectPr w:rsidR="004E2B2B" w:rsidSect="004E2B2B">
          <w:footerReference w:type="default" r:id="rId10"/>
          <w:type w:val="continuous"/>
          <w:pgSz w:w="11906" w:h="16838" w:code="9"/>
          <w:pgMar w:top="1418" w:right="1134" w:bottom="1134" w:left="1134" w:header="709" w:footer="709" w:gutter="0"/>
          <w:cols w:space="708"/>
          <w:docGrid w:linePitch="360"/>
        </w:sectPr>
      </w:pPr>
      <w:r w:rsidRPr="004E2B2B">
        <w:rPr>
          <w:rFonts w:eastAsia="Times New Roman" w:cstheme="minorHAnsi"/>
          <w:sz w:val="24"/>
          <w:szCs w:val="24"/>
          <w:lang w:eastAsia="it-IT"/>
        </w:rPr>
        <w:t>./.</w:t>
      </w:r>
    </w:p>
    <w:p w:rsidR="004E2B2B" w:rsidRPr="00D76F41" w:rsidRDefault="004E2B2B" w:rsidP="004E2B2B">
      <w:pPr>
        <w:pStyle w:val="Intestazione"/>
        <w:tabs>
          <w:tab w:val="clear" w:pos="4819"/>
          <w:tab w:val="clear" w:pos="9638"/>
          <w:tab w:val="left" w:pos="4820"/>
        </w:tabs>
        <w:rPr>
          <w:rFonts w:ascii="Times New Roman" w:hAnsi="Times New Roman"/>
          <w:noProof/>
        </w:rPr>
      </w:pPr>
      <w:bookmarkStart w:id="0" w:name="OLE_LINK1"/>
      <w:bookmarkStart w:id="1" w:name="OLE_LINK2"/>
      <w:r w:rsidRPr="00D76F41">
        <w:rPr>
          <w:rFonts w:ascii="Times New Roman" w:hAnsi="Times New Roman"/>
          <w:noProof/>
          <w:lang w:eastAsia="it-IT"/>
        </w:rPr>
        <w:lastRenderedPageBreak/>
        <w:drawing>
          <wp:inline distT="0" distB="0" distL="0" distR="0" wp14:anchorId="0254EF5B" wp14:editId="0F6F2172">
            <wp:extent cx="2019300" cy="920750"/>
            <wp:effectExtent l="0" t="0" r="0" b="0"/>
            <wp:docPr id="4" name="Immagine 4" descr="Image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1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920750"/>
                    </a:xfrm>
                    <a:prstGeom prst="rect">
                      <a:avLst/>
                    </a:prstGeom>
                    <a:noFill/>
                    <a:ln>
                      <a:noFill/>
                    </a:ln>
                  </pic:spPr>
                </pic:pic>
              </a:graphicData>
            </a:graphic>
          </wp:inline>
        </w:drawing>
      </w:r>
    </w:p>
    <w:p w:rsidR="004E2B2B" w:rsidRPr="00D76F41" w:rsidRDefault="004E2B2B" w:rsidP="004E2B2B">
      <w:pPr>
        <w:tabs>
          <w:tab w:val="left" w:pos="851"/>
        </w:tabs>
        <w:spacing w:after="0"/>
        <w:rPr>
          <w:rFonts w:ascii="Times New Roman" w:hAnsi="Times New Roman"/>
        </w:rPr>
      </w:pPr>
    </w:p>
    <w:p w:rsidR="004E2B2B" w:rsidRPr="00D76F41" w:rsidRDefault="004E2B2B" w:rsidP="004E2B2B">
      <w:pPr>
        <w:tabs>
          <w:tab w:val="left" w:pos="851"/>
        </w:tabs>
        <w:spacing w:after="0"/>
        <w:rPr>
          <w:rFonts w:ascii="Times New Roman" w:hAnsi="Times New Roman"/>
        </w:rPr>
        <w:sectPr w:rsidR="004E2B2B" w:rsidRPr="00D76F41" w:rsidSect="00CA4C6C">
          <w:pgSz w:w="11906" w:h="16838" w:code="9"/>
          <w:pgMar w:top="567" w:right="454" w:bottom="1134" w:left="454" w:header="567" w:footer="567" w:gutter="0"/>
          <w:cols w:space="709"/>
        </w:sectPr>
      </w:pPr>
    </w:p>
    <w:bookmarkEnd w:id="0"/>
    <w:bookmarkEnd w:id="1"/>
    <w:p w:rsidR="004E2B2B" w:rsidRPr="004E2B2B" w:rsidRDefault="004E2B2B" w:rsidP="004E2B2B">
      <w:pPr>
        <w:spacing w:after="0" w:line="240" w:lineRule="auto"/>
        <w:jc w:val="center"/>
        <w:rPr>
          <w:rFonts w:eastAsia="Times New Roman" w:cstheme="minorHAnsi"/>
          <w:sz w:val="24"/>
          <w:szCs w:val="24"/>
          <w:lang w:eastAsia="it-IT"/>
        </w:rPr>
      </w:pPr>
      <w:r>
        <w:rPr>
          <w:rFonts w:eastAsia="Times New Roman" w:cstheme="minorHAnsi"/>
          <w:sz w:val="24"/>
          <w:szCs w:val="24"/>
          <w:lang w:eastAsia="it-IT"/>
        </w:rPr>
        <w:t>- 2 -</w:t>
      </w:r>
    </w:p>
    <w:p w:rsidR="004E2B2B" w:rsidRDefault="004E2B2B" w:rsidP="004E2B2B">
      <w:pPr>
        <w:spacing w:after="0" w:line="240" w:lineRule="auto"/>
        <w:rPr>
          <w:rFonts w:eastAsia="Times New Roman" w:cstheme="minorHAnsi"/>
          <w:i/>
          <w:sz w:val="24"/>
          <w:szCs w:val="24"/>
          <w:lang w:eastAsia="it-IT"/>
        </w:rPr>
      </w:pPr>
    </w:p>
    <w:p w:rsidR="004E2B2B" w:rsidRDefault="004E2B2B" w:rsidP="004E2B2B">
      <w:pPr>
        <w:spacing w:after="0" w:line="240" w:lineRule="auto"/>
        <w:rPr>
          <w:rFonts w:eastAsia="Times New Roman" w:cstheme="minorHAnsi"/>
          <w:i/>
          <w:sz w:val="24"/>
          <w:szCs w:val="24"/>
          <w:lang w:eastAsia="it-IT"/>
        </w:rPr>
      </w:pPr>
    </w:p>
    <w:p w:rsidR="000B33FB" w:rsidRDefault="000B33FB" w:rsidP="004E2B2B">
      <w:pPr>
        <w:spacing w:after="0" w:line="240" w:lineRule="auto"/>
        <w:jc w:val="both"/>
        <w:rPr>
          <w:rFonts w:eastAsia="Times New Roman" w:cstheme="minorHAnsi"/>
          <w:i/>
          <w:sz w:val="24"/>
          <w:szCs w:val="24"/>
          <w:lang w:eastAsia="it-IT"/>
        </w:rPr>
      </w:pPr>
      <w:proofErr w:type="gramStart"/>
      <w:r w:rsidRPr="000B33FB">
        <w:rPr>
          <w:rFonts w:eastAsia="Times New Roman" w:cstheme="minorHAnsi"/>
          <w:i/>
          <w:sz w:val="24"/>
          <w:szCs w:val="24"/>
          <w:lang w:eastAsia="it-IT"/>
        </w:rPr>
        <w:t>finanziaria</w:t>
      </w:r>
      <w:proofErr w:type="gramEnd"/>
      <w:r w:rsidRPr="000B33FB">
        <w:rPr>
          <w:rFonts w:eastAsia="Times New Roman" w:cstheme="minorHAnsi"/>
          <w:i/>
          <w:sz w:val="24"/>
          <w:szCs w:val="24"/>
          <w:lang w:eastAsia="it-IT"/>
        </w:rPr>
        <w:t xml:space="preserve"> quando invece, da una rapida stima condotta, se si andasse verso un sistema di gare a prezzo fisso con ribasso sulle sole spese si d</w:t>
      </w:r>
      <w:r w:rsidR="004E2B2B" w:rsidRPr="004E2B2B">
        <w:rPr>
          <w:rFonts w:eastAsia="Times New Roman" w:cstheme="minorHAnsi"/>
          <w:i/>
          <w:sz w:val="24"/>
          <w:szCs w:val="24"/>
          <w:lang w:eastAsia="it-IT"/>
        </w:rPr>
        <w:t>e</w:t>
      </w:r>
      <w:r w:rsidRPr="000B33FB">
        <w:rPr>
          <w:rFonts w:eastAsia="Times New Roman" w:cstheme="minorHAnsi"/>
          <w:i/>
          <w:sz w:val="24"/>
          <w:szCs w:val="24"/>
          <w:lang w:eastAsia="it-IT"/>
        </w:rPr>
        <w:t>terminerebbero maggiori costi per lo Stato dell’ordine di almeno il 30% in più tenendo conto dei ribassi medi delle gare, così come risulta dal nostro osservatorio. Dove sono le coperture finanziarie? Cosa dovrebbero fare le stazioni appaltanti impegnate con le gare di progettazione e appalto integrato del PNRR?”</w:t>
      </w:r>
    </w:p>
    <w:p w:rsidR="004E2B2B" w:rsidRPr="000B33FB" w:rsidRDefault="004E2B2B" w:rsidP="00AF00E7">
      <w:pPr>
        <w:spacing w:after="0" w:line="240" w:lineRule="auto"/>
        <w:rPr>
          <w:rFonts w:eastAsia="Times New Roman" w:cstheme="minorHAnsi"/>
          <w:sz w:val="24"/>
          <w:szCs w:val="24"/>
          <w:lang w:eastAsia="it-IT"/>
        </w:rPr>
      </w:pPr>
    </w:p>
    <w:p w:rsidR="000B33FB" w:rsidRDefault="000B33FB" w:rsidP="004E2B2B">
      <w:pPr>
        <w:spacing w:after="0" w:line="240" w:lineRule="auto"/>
        <w:ind w:firstLine="708"/>
        <w:jc w:val="both"/>
        <w:rPr>
          <w:rFonts w:eastAsia="Times New Roman" w:cstheme="minorHAnsi"/>
          <w:sz w:val="24"/>
          <w:szCs w:val="24"/>
          <w:lang w:eastAsia="it-IT"/>
        </w:rPr>
      </w:pPr>
      <w:r w:rsidRPr="000B33FB">
        <w:rPr>
          <w:rFonts w:eastAsia="Times New Roman" w:cstheme="minorHAnsi"/>
          <w:sz w:val="24"/>
          <w:szCs w:val="24"/>
          <w:lang w:eastAsia="it-IT"/>
        </w:rPr>
        <w:t>Un’altra criticità è rappresentata dall’eccessiva riduzione del lasso temporale su cui calcolare i requisiti di accesso alle procedure di gara. Il Codice indica un periodo di riferimento di soli 3 anni, a differenza della normativa precedente che prevedeva un periodo di 10 anni.</w:t>
      </w:r>
    </w:p>
    <w:p w:rsidR="00AF00E7" w:rsidRPr="000B33FB" w:rsidRDefault="00AF00E7" w:rsidP="00AF00E7">
      <w:pPr>
        <w:spacing w:after="0" w:line="240" w:lineRule="auto"/>
        <w:rPr>
          <w:rFonts w:eastAsia="Times New Roman" w:cstheme="minorHAnsi"/>
          <w:sz w:val="24"/>
          <w:szCs w:val="24"/>
          <w:lang w:eastAsia="it-IT"/>
        </w:rPr>
      </w:pPr>
    </w:p>
    <w:p w:rsidR="00862A8E" w:rsidRPr="004E2B2B" w:rsidRDefault="000B33FB" w:rsidP="004E2B2B">
      <w:pPr>
        <w:spacing w:after="0" w:line="240" w:lineRule="auto"/>
        <w:ind w:firstLine="708"/>
        <w:jc w:val="both"/>
        <w:rPr>
          <w:rFonts w:eastAsia="Times New Roman" w:cstheme="minorHAnsi"/>
          <w:i/>
          <w:sz w:val="24"/>
          <w:szCs w:val="24"/>
          <w:lang w:eastAsia="it-IT"/>
        </w:rPr>
      </w:pPr>
      <w:r w:rsidRPr="000B33FB">
        <w:rPr>
          <w:rFonts w:eastAsia="Times New Roman" w:cstheme="minorHAnsi"/>
          <w:sz w:val="24"/>
          <w:szCs w:val="24"/>
          <w:lang w:eastAsia="it-IT"/>
        </w:rPr>
        <w:t xml:space="preserve">Per Giorgio </w:t>
      </w:r>
      <w:proofErr w:type="spellStart"/>
      <w:r w:rsidRPr="000B33FB">
        <w:rPr>
          <w:rFonts w:eastAsia="Times New Roman" w:cstheme="minorHAnsi"/>
          <w:sz w:val="24"/>
          <w:szCs w:val="24"/>
          <w:lang w:eastAsia="it-IT"/>
        </w:rPr>
        <w:t>Lupoi</w:t>
      </w:r>
      <w:proofErr w:type="spellEnd"/>
      <w:r w:rsidRPr="000B33FB">
        <w:rPr>
          <w:rFonts w:eastAsia="Times New Roman" w:cstheme="minorHAnsi"/>
          <w:sz w:val="24"/>
          <w:szCs w:val="24"/>
          <w:lang w:eastAsia="it-IT"/>
        </w:rPr>
        <w:t>: “</w:t>
      </w:r>
      <w:r w:rsidRPr="000B33FB">
        <w:rPr>
          <w:rFonts w:eastAsia="Times New Roman" w:cstheme="minorHAnsi"/>
          <w:i/>
          <w:sz w:val="24"/>
          <w:szCs w:val="24"/>
          <w:lang w:eastAsia="it-IT"/>
        </w:rPr>
        <w:t xml:space="preserve">pur condividendo l’intento del legislatore di </w:t>
      </w:r>
      <w:r w:rsidR="00014C46" w:rsidRPr="004E2B2B">
        <w:rPr>
          <w:rFonts w:eastAsia="Times New Roman" w:cstheme="minorHAnsi"/>
          <w:i/>
          <w:sz w:val="24"/>
          <w:szCs w:val="24"/>
          <w:lang w:eastAsia="it-IT"/>
        </w:rPr>
        <w:t>definire i requisiti di accesso alle gare in maniera conf</w:t>
      </w:r>
      <w:r w:rsidR="00862A8E" w:rsidRPr="004E2B2B">
        <w:rPr>
          <w:rFonts w:eastAsia="Times New Roman" w:cstheme="minorHAnsi"/>
          <w:i/>
          <w:sz w:val="24"/>
          <w:szCs w:val="24"/>
          <w:lang w:eastAsia="it-IT"/>
        </w:rPr>
        <w:t>o</w:t>
      </w:r>
      <w:r w:rsidR="00014C46" w:rsidRPr="004E2B2B">
        <w:rPr>
          <w:rFonts w:eastAsia="Times New Roman" w:cstheme="minorHAnsi"/>
          <w:i/>
          <w:sz w:val="24"/>
          <w:szCs w:val="24"/>
          <w:lang w:eastAsia="it-IT"/>
        </w:rPr>
        <w:t>rme alle direttive europee</w:t>
      </w:r>
      <w:r w:rsidR="00862A8E" w:rsidRPr="004E2B2B">
        <w:rPr>
          <w:rFonts w:eastAsia="Times New Roman" w:cstheme="minorHAnsi"/>
          <w:i/>
          <w:sz w:val="24"/>
          <w:szCs w:val="24"/>
          <w:lang w:eastAsia="it-IT"/>
        </w:rPr>
        <w:t>,</w:t>
      </w:r>
      <w:r w:rsidR="00014C46" w:rsidRPr="004E2B2B">
        <w:rPr>
          <w:rFonts w:eastAsia="Times New Roman" w:cstheme="minorHAnsi"/>
          <w:i/>
          <w:sz w:val="24"/>
          <w:szCs w:val="24"/>
          <w:lang w:eastAsia="it-IT"/>
        </w:rPr>
        <w:t xml:space="preserve"> </w:t>
      </w:r>
      <w:r w:rsidR="00862A8E" w:rsidRPr="004E2B2B">
        <w:rPr>
          <w:rFonts w:eastAsia="Times New Roman" w:cstheme="minorHAnsi"/>
          <w:i/>
          <w:sz w:val="24"/>
          <w:szCs w:val="24"/>
          <w:lang w:eastAsia="it-IT"/>
        </w:rPr>
        <w:t>siamo dell’avviso che questo debba avvenire in maniera graduale anche in considerazione del fatto che da oltre 25 anni sono stati richiesti requisiti su base decennale, a tutela di piccole e medie imprese che anche il codice afferma di voler tutelare”.</w:t>
      </w:r>
    </w:p>
    <w:p w:rsidR="004E2B2B" w:rsidRDefault="004E2B2B" w:rsidP="00AF00E7">
      <w:pPr>
        <w:spacing w:after="0" w:line="240" w:lineRule="auto"/>
        <w:rPr>
          <w:rFonts w:eastAsia="Times New Roman" w:cstheme="minorHAnsi"/>
          <w:sz w:val="24"/>
          <w:szCs w:val="24"/>
          <w:lang w:eastAsia="it-IT"/>
        </w:rPr>
      </w:pPr>
      <w:bookmarkStart w:id="2" w:name="_GoBack"/>
      <w:bookmarkEnd w:id="2"/>
    </w:p>
    <w:p w:rsidR="000B33FB" w:rsidRDefault="000B33FB" w:rsidP="004E2B2B">
      <w:pPr>
        <w:spacing w:after="0" w:line="240" w:lineRule="auto"/>
        <w:ind w:firstLine="708"/>
        <w:jc w:val="both"/>
        <w:rPr>
          <w:rFonts w:eastAsia="Times New Roman" w:cstheme="minorHAnsi"/>
          <w:sz w:val="24"/>
          <w:szCs w:val="24"/>
          <w:lang w:eastAsia="it-IT"/>
        </w:rPr>
      </w:pPr>
      <w:r w:rsidRPr="000B33FB">
        <w:rPr>
          <w:rFonts w:eastAsia="Times New Roman" w:cstheme="minorHAnsi"/>
          <w:sz w:val="24"/>
          <w:szCs w:val="24"/>
          <w:lang w:eastAsia="it-IT"/>
        </w:rPr>
        <w:t>L’O</w:t>
      </w:r>
      <w:r w:rsidRPr="004E2B2B">
        <w:rPr>
          <w:rFonts w:eastAsia="Times New Roman" w:cstheme="minorHAnsi"/>
          <w:sz w:val="24"/>
          <w:szCs w:val="24"/>
          <w:lang w:eastAsia="it-IT"/>
        </w:rPr>
        <w:t xml:space="preserve">ICE </w:t>
      </w:r>
      <w:r w:rsidRPr="000B33FB">
        <w:rPr>
          <w:rFonts w:eastAsia="Times New Roman" w:cstheme="minorHAnsi"/>
          <w:sz w:val="24"/>
          <w:szCs w:val="24"/>
          <w:lang w:eastAsia="it-IT"/>
        </w:rPr>
        <w:t>chiede a Governo e Parlamento di “</w:t>
      </w:r>
      <w:r w:rsidRPr="000B33FB">
        <w:rPr>
          <w:rFonts w:eastAsia="Times New Roman" w:cstheme="minorHAnsi"/>
          <w:i/>
          <w:sz w:val="24"/>
          <w:szCs w:val="24"/>
          <w:lang w:eastAsia="it-IT"/>
        </w:rPr>
        <w:t xml:space="preserve">provvedere a fornire le indicazioni opportune </w:t>
      </w:r>
      <w:r w:rsidRPr="004E2B2B">
        <w:rPr>
          <w:rFonts w:eastAsia="Times New Roman" w:cstheme="minorHAnsi"/>
          <w:i/>
          <w:sz w:val="24"/>
          <w:szCs w:val="24"/>
          <w:lang w:eastAsia="it-IT"/>
        </w:rPr>
        <w:t>-</w:t>
      </w:r>
      <w:r w:rsidRPr="000B33FB">
        <w:rPr>
          <w:rFonts w:eastAsia="Times New Roman" w:cstheme="minorHAnsi"/>
          <w:i/>
          <w:sz w:val="24"/>
          <w:szCs w:val="24"/>
          <w:lang w:eastAsia="it-IT"/>
        </w:rPr>
        <w:t xml:space="preserve"> </w:t>
      </w:r>
      <w:r w:rsidRPr="000B33FB">
        <w:rPr>
          <w:rFonts w:eastAsia="Times New Roman" w:cstheme="minorHAnsi"/>
          <w:sz w:val="24"/>
          <w:szCs w:val="24"/>
          <w:lang w:eastAsia="it-IT"/>
        </w:rPr>
        <w:t xml:space="preserve">dice </w:t>
      </w:r>
      <w:proofErr w:type="spellStart"/>
      <w:r w:rsidRPr="000B33FB">
        <w:rPr>
          <w:rFonts w:eastAsia="Times New Roman" w:cstheme="minorHAnsi"/>
          <w:sz w:val="24"/>
          <w:szCs w:val="24"/>
          <w:lang w:eastAsia="it-IT"/>
        </w:rPr>
        <w:t>Lupoi</w:t>
      </w:r>
      <w:proofErr w:type="spellEnd"/>
      <w:r w:rsidRPr="000B33FB">
        <w:rPr>
          <w:rFonts w:eastAsia="Times New Roman" w:cstheme="minorHAnsi"/>
          <w:i/>
          <w:sz w:val="24"/>
          <w:szCs w:val="24"/>
          <w:lang w:eastAsia="it-IT"/>
        </w:rPr>
        <w:t xml:space="preserve"> </w:t>
      </w:r>
      <w:r w:rsidRPr="004E2B2B">
        <w:rPr>
          <w:rFonts w:eastAsia="Times New Roman" w:cstheme="minorHAnsi"/>
          <w:sz w:val="24"/>
          <w:szCs w:val="24"/>
          <w:lang w:eastAsia="it-IT"/>
        </w:rPr>
        <w:t>-</w:t>
      </w:r>
      <w:r w:rsidRPr="000B33FB">
        <w:rPr>
          <w:rFonts w:eastAsia="Times New Roman" w:cstheme="minorHAnsi"/>
          <w:i/>
          <w:sz w:val="24"/>
          <w:szCs w:val="24"/>
          <w:lang w:eastAsia="it-IT"/>
        </w:rPr>
        <w:t xml:space="preserve"> con l’obiettivo di dare piena attuazione al Codice favorendo la realizzazione de</w:t>
      </w:r>
      <w:r w:rsidRPr="004E2B2B">
        <w:rPr>
          <w:rFonts w:eastAsia="Times New Roman" w:cstheme="minorHAnsi"/>
          <w:i/>
          <w:sz w:val="24"/>
          <w:szCs w:val="24"/>
          <w:lang w:eastAsia="it-IT"/>
        </w:rPr>
        <w:t>l</w:t>
      </w:r>
      <w:r w:rsidRPr="000B33FB">
        <w:rPr>
          <w:rFonts w:eastAsia="Times New Roman" w:cstheme="minorHAnsi"/>
          <w:i/>
          <w:sz w:val="24"/>
          <w:szCs w:val="24"/>
          <w:lang w:eastAsia="it-IT"/>
        </w:rPr>
        <w:t>le opere, la crescita del mercato e delle professionalità evitando, invece, derive anacronistiche e dannose per il sistema</w:t>
      </w:r>
      <w:r w:rsidRPr="000B33FB">
        <w:rPr>
          <w:rFonts w:eastAsia="Times New Roman" w:cstheme="minorHAnsi"/>
          <w:sz w:val="24"/>
          <w:szCs w:val="24"/>
          <w:lang w:eastAsia="it-IT"/>
        </w:rPr>
        <w:t>”.</w:t>
      </w:r>
    </w:p>
    <w:p w:rsidR="004E2B2B" w:rsidRDefault="004E2B2B" w:rsidP="004E2B2B">
      <w:pPr>
        <w:spacing w:after="0" w:line="240" w:lineRule="auto"/>
        <w:jc w:val="both"/>
        <w:rPr>
          <w:rFonts w:eastAsia="Times New Roman" w:cstheme="minorHAnsi"/>
          <w:sz w:val="24"/>
          <w:szCs w:val="24"/>
          <w:lang w:eastAsia="it-IT"/>
        </w:rPr>
      </w:pPr>
    </w:p>
    <w:p w:rsidR="004E2B2B" w:rsidRPr="000B33FB" w:rsidRDefault="004E2B2B" w:rsidP="004E2B2B">
      <w:pPr>
        <w:spacing w:after="0" w:line="240" w:lineRule="auto"/>
        <w:jc w:val="both"/>
        <w:rPr>
          <w:rFonts w:eastAsia="Times New Roman" w:cstheme="minorHAnsi"/>
          <w:sz w:val="24"/>
          <w:szCs w:val="24"/>
          <w:lang w:eastAsia="it-IT"/>
        </w:rPr>
      </w:pPr>
    </w:p>
    <w:p w:rsidR="00862A8E" w:rsidRPr="004E2B2B" w:rsidRDefault="00862A8E" w:rsidP="004E2B2B">
      <w:pPr>
        <w:spacing w:after="0" w:line="240" w:lineRule="auto"/>
        <w:jc w:val="both"/>
        <w:rPr>
          <w:rFonts w:cstheme="minorHAnsi"/>
          <w:i/>
          <w:sz w:val="24"/>
          <w:szCs w:val="24"/>
        </w:rPr>
      </w:pPr>
      <w:r w:rsidRPr="004E2B2B">
        <w:rPr>
          <w:rFonts w:cstheme="minorHAnsi"/>
          <w:i/>
          <w:sz w:val="24"/>
          <w:szCs w:val="24"/>
        </w:rPr>
        <w:t>Con cortese preghiera di pubblicazione</w:t>
      </w:r>
    </w:p>
    <w:p w:rsidR="00862A8E" w:rsidRPr="004E2B2B" w:rsidRDefault="00862A8E" w:rsidP="004E2B2B">
      <w:pPr>
        <w:spacing w:after="0" w:line="240" w:lineRule="auto"/>
        <w:jc w:val="both"/>
        <w:rPr>
          <w:rFonts w:cstheme="minorHAnsi"/>
          <w:i/>
          <w:sz w:val="24"/>
          <w:szCs w:val="24"/>
        </w:rPr>
      </w:pPr>
    </w:p>
    <w:p w:rsidR="00862A8E" w:rsidRPr="004E2B2B" w:rsidRDefault="00862A8E" w:rsidP="004E2B2B">
      <w:pPr>
        <w:spacing w:after="0" w:line="240" w:lineRule="auto"/>
        <w:jc w:val="both"/>
        <w:rPr>
          <w:rFonts w:cstheme="minorHAnsi"/>
          <w:i/>
          <w:sz w:val="24"/>
          <w:szCs w:val="24"/>
        </w:rPr>
      </w:pPr>
    </w:p>
    <w:p w:rsidR="00862A8E" w:rsidRPr="004E2B2B" w:rsidRDefault="00862A8E" w:rsidP="004E2B2B">
      <w:pPr>
        <w:spacing w:after="0" w:line="240" w:lineRule="auto"/>
        <w:jc w:val="both"/>
        <w:rPr>
          <w:rFonts w:cstheme="minorHAnsi"/>
          <w:sz w:val="24"/>
          <w:szCs w:val="24"/>
        </w:rPr>
      </w:pPr>
      <w:r w:rsidRPr="004E2B2B">
        <w:rPr>
          <w:rFonts w:cstheme="minorHAnsi"/>
          <w:sz w:val="24"/>
          <w:szCs w:val="24"/>
        </w:rPr>
        <w:t>Andrea Mascolini</w:t>
      </w:r>
    </w:p>
    <w:p w:rsidR="00862A8E" w:rsidRPr="004E2B2B" w:rsidRDefault="004E2B2B" w:rsidP="004E2B2B">
      <w:pPr>
        <w:spacing w:after="0" w:line="240" w:lineRule="auto"/>
        <w:jc w:val="both"/>
        <w:rPr>
          <w:rFonts w:cstheme="minorHAnsi"/>
          <w:sz w:val="24"/>
          <w:szCs w:val="24"/>
        </w:rPr>
      </w:pPr>
      <w:r>
        <w:rPr>
          <w:rFonts w:cstheme="minorHAnsi"/>
          <w:sz w:val="24"/>
          <w:szCs w:val="24"/>
        </w:rPr>
        <w:t>Direttore Generale</w:t>
      </w:r>
    </w:p>
    <w:p w:rsidR="003A5D7F" w:rsidRPr="004E2B2B" w:rsidRDefault="003A5D7F" w:rsidP="004E2B2B">
      <w:pPr>
        <w:spacing w:after="0" w:line="240" w:lineRule="auto"/>
        <w:rPr>
          <w:rFonts w:cstheme="minorHAnsi"/>
        </w:rPr>
      </w:pPr>
    </w:p>
    <w:sectPr w:rsidR="003A5D7F" w:rsidRPr="004E2B2B" w:rsidSect="004E2B2B">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7F" w:rsidRDefault="003A5D7F" w:rsidP="003A5D7F">
      <w:pPr>
        <w:spacing w:after="0" w:line="240" w:lineRule="auto"/>
      </w:pPr>
      <w:r>
        <w:separator/>
      </w:r>
    </w:p>
  </w:endnote>
  <w:endnote w:type="continuationSeparator" w:id="0">
    <w:p w:rsidR="003A5D7F" w:rsidRDefault="003A5D7F" w:rsidP="003A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2B" w:rsidRDefault="004E2B2B">
    <w:pPr>
      <w:pStyle w:val="Pidipagina"/>
      <w:tabs>
        <w:tab w:val="clear" w:pos="4819"/>
        <w:tab w:val="clear" w:pos="9638"/>
        <w:tab w:val="left" w:pos="907"/>
      </w:tabs>
      <w:rPr>
        <w:rFonts w:ascii="Tahoma" w:hAnsi="Tahoma" w:cs="Tahoma"/>
        <w:sz w:val="14"/>
        <w:szCs w:val="14"/>
      </w:rPr>
    </w:pPr>
    <w:r>
      <w:rPr>
        <w:rFonts w:ascii="Tahoma" w:hAnsi="Tahoma" w:cs="Tahoma"/>
        <w:noProof/>
        <w:sz w:val="14"/>
        <w:szCs w:val="14"/>
        <w:lang w:eastAsia="it-IT"/>
      </w:rPr>
      <w:drawing>
        <wp:anchor distT="0" distB="0" distL="114300" distR="114300" simplePos="0" relativeHeight="251660288" behindDoc="1" locked="0" layoutInCell="1" allowOverlap="1" wp14:anchorId="27B627D1" wp14:editId="12224CF4">
          <wp:simplePos x="0" y="0"/>
          <wp:positionH relativeFrom="column">
            <wp:posOffset>5850255</wp:posOffset>
          </wp:positionH>
          <wp:positionV relativeFrom="paragraph">
            <wp:posOffset>-106680</wp:posOffset>
          </wp:positionV>
          <wp:extent cx="424815" cy="431800"/>
          <wp:effectExtent l="0" t="0" r="0" b="6350"/>
          <wp:wrapNone/>
          <wp:docPr id="3" name="Immagine 3" descr="logo FI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D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14"/>
        <w:szCs w:val="14"/>
        <w:lang w:eastAsia="it-IT"/>
      </w:rPr>
      <w:drawing>
        <wp:anchor distT="0" distB="0" distL="114300" distR="114300" simplePos="0" relativeHeight="251659264" behindDoc="1" locked="0" layoutInCell="1" allowOverlap="1" wp14:anchorId="48EEDFD1" wp14:editId="0F0D3117">
          <wp:simplePos x="0" y="0"/>
          <wp:positionH relativeFrom="column">
            <wp:posOffset>3434080</wp:posOffset>
          </wp:positionH>
          <wp:positionV relativeFrom="paragraph">
            <wp:posOffset>-295275</wp:posOffset>
          </wp:positionV>
          <wp:extent cx="1154430" cy="890905"/>
          <wp:effectExtent l="0" t="0" r="762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430" cy="890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14"/>
        <w:szCs w:val="14"/>
      </w:rPr>
      <w:tab/>
      <w:t>Via Flaminia, 388 - 00196 Roma</w:t>
    </w:r>
  </w:p>
  <w:p w:rsidR="004E2B2B" w:rsidRDefault="004E2B2B">
    <w:pPr>
      <w:pStyle w:val="Pidipagina"/>
      <w:tabs>
        <w:tab w:val="clear" w:pos="4819"/>
        <w:tab w:val="clear" w:pos="9638"/>
        <w:tab w:val="left" w:pos="907"/>
      </w:tabs>
      <w:rPr>
        <w:rFonts w:ascii="Tahoma" w:hAnsi="Tahoma" w:cs="Tahoma"/>
        <w:sz w:val="14"/>
        <w:szCs w:val="14"/>
      </w:rPr>
    </w:pPr>
    <w:r>
      <w:rPr>
        <w:rFonts w:ascii="Tahoma" w:hAnsi="Tahoma" w:cs="Tahoma"/>
        <w:sz w:val="14"/>
        <w:szCs w:val="14"/>
      </w:rPr>
      <w:tab/>
      <w:t>Tel. 06 80687248 - Fax 06 8085022</w:t>
    </w:r>
  </w:p>
  <w:p w:rsidR="004E2B2B" w:rsidRDefault="004E2B2B" w:rsidP="00F62039">
    <w:pPr>
      <w:pStyle w:val="Pidipagina"/>
      <w:tabs>
        <w:tab w:val="clear" w:pos="4819"/>
        <w:tab w:val="clear" w:pos="9638"/>
        <w:tab w:val="left" w:pos="907"/>
      </w:tabs>
      <w:rPr>
        <w:rFonts w:ascii="Tahoma" w:hAnsi="Tahoma" w:cs="Tahoma"/>
        <w:smallCaps/>
        <w:sz w:val="16"/>
        <w:szCs w:val="16"/>
      </w:rPr>
    </w:pPr>
    <w:r>
      <w:rPr>
        <w:rFonts w:ascii="Tahoma" w:hAnsi="Tahoma" w:cs="Tahoma"/>
        <w:sz w:val="14"/>
        <w:szCs w:val="14"/>
        <w:lang w:val="en-GB"/>
      </w:rPr>
      <w:tab/>
    </w:r>
    <w:r>
      <w:rPr>
        <w:rFonts w:ascii="Tahoma" w:hAnsi="Tahoma" w:cs="Tahoma"/>
        <w:sz w:val="14"/>
        <w:szCs w:val="14"/>
      </w:rPr>
      <w:t>http://www.oice.it          e-mail: segreteria@oice.it</w:t>
    </w:r>
  </w:p>
  <w:p w:rsidR="004E2B2B" w:rsidRDefault="004E2B2B">
    <w:pPr>
      <w:pStyle w:val="Pidipagina"/>
      <w:tabs>
        <w:tab w:val="clear" w:pos="4819"/>
        <w:tab w:val="clear" w:pos="9638"/>
        <w:tab w:val="left" w:pos="907"/>
      </w:tabs>
      <w:rPr>
        <w:rFonts w:ascii="Tahoma" w:hAnsi="Tahoma" w:cs="Tahoma"/>
        <w:sz w:val="14"/>
        <w:szCs w:val="14"/>
        <w:lang w:val="en-GB"/>
      </w:rPr>
    </w:pPr>
    <w:r>
      <w:rPr>
        <w:rFonts w:ascii="Tahoma" w:hAnsi="Tahoma" w:cs="Tahoma"/>
        <w:sz w:val="14"/>
        <w:szCs w:val="14"/>
      </w:rPr>
      <w:tab/>
    </w:r>
    <w:r>
      <w:rPr>
        <w:rFonts w:ascii="Tahoma" w:hAnsi="Tahoma" w:cs="Tahoma"/>
        <w:sz w:val="14"/>
        <w:szCs w:val="14"/>
        <w:lang w:val="en-GB"/>
      </w:rPr>
      <w:t>C.F. 80138630589 - P.I. 03687911002</w:t>
    </w:r>
  </w:p>
  <w:p w:rsidR="004E2B2B" w:rsidRDefault="004E2B2B">
    <w:pPr>
      <w:pStyle w:val="Pidipagina"/>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2B" w:rsidRDefault="004E2B2B">
    <w:pPr>
      <w:pStyle w:val="Pidipagina"/>
      <w:rPr>
        <w:rFonts w:ascii="Tahoma" w:hAnsi="Tahoma" w:cs="Tahoma"/>
        <w:sz w:val="14"/>
        <w:szCs w:val="14"/>
      </w:rPr>
    </w:pPr>
  </w:p>
  <w:p w:rsidR="004E2B2B" w:rsidRDefault="004E2B2B">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7F" w:rsidRDefault="003A5D7F" w:rsidP="003A5D7F">
      <w:pPr>
        <w:spacing w:after="0" w:line="240" w:lineRule="auto"/>
      </w:pPr>
      <w:r>
        <w:separator/>
      </w:r>
    </w:p>
  </w:footnote>
  <w:footnote w:type="continuationSeparator" w:id="0">
    <w:p w:rsidR="003A5D7F" w:rsidRDefault="003A5D7F" w:rsidP="003A5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93"/>
    <w:rsid w:val="00014C46"/>
    <w:rsid w:val="00020360"/>
    <w:rsid w:val="00051A4C"/>
    <w:rsid w:val="000B33FB"/>
    <w:rsid w:val="000F34DE"/>
    <w:rsid w:val="00127C93"/>
    <w:rsid w:val="00140AC8"/>
    <w:rsid w:val="00194B81"/>
    <w:rsid w:val="001F6ADF"/>
    <w:rsid w:val="00251F8F"/>
    <w:rsid w:val="002745B3"/>
    <w:rsid w:val="00277689"/>
    <w:rsid w:val="002F0EDB"/>
    <w:rsid w:val="00315EE5"/>
    <w:rsid w:val="00317E53"/>
    <w:rsid w:val="00325D1C"/>
    <w:rsid w:val="003A5D7F"/>
    <w:rsid w:val="00496531"/>
    <w:rsid w:val="004E2B2B"/>
    <w:rsid w:val="00500A66"/>
    <w:rsid w:val="00581C12"/>
    <w:rsid w:val="006E38AD"/>
    <w:rsid w:val="006F43B7"/>
    <w:rsid w:val="00742D0E"/>
    <w:rsid w:val="007B54F4"/>
    <w:rsid w:val="007E2D96"/>
    <w:rsid w:val="007E7B2A"/>
    <w:rsid w:val="008413D5"/>
    <w:rsid w:val="00862A8E"/>
    <w:rsid w:val="00866656"/>
    <w:rsid w:val="00897AA6"/>
    <w:rsid w:val="008A0CB6"/>
    <w:rsid w:val="008E6E81"/>
    <w:rsid w:val="00927536"/>
    <w:rsid w:val="00931010"/>
    <w:rsid w:val="00943CA0"/>
    <w:rsid w:val="009769F6"/>
    <w:rsid w:val="009D76D1"/>
    <w:rsid w:val="009F30AA"/>
    <w:rsid w:val="00A132B4"/>
    <w:rsid w:val="00AC7E1F"/>
    <w:rsid w:val="00AF00E7"/>
    <w:rsid w:val="00B56B94"/>
    <w:rsid w:val="00BC1543"/>
    <w:rsid w:val="00C84D98"/>
    <w:rsid w:val="00CD701B"/>
    <w:rsid w:val="00D02459"/>
    <w:rsid w:val="00D474C4"/>
    <w:rsid w:val="00DA03F6"/>
    <w:rsid w:val="00E83B87"/>
    <w:rsid w:val="00EB0D50"/>
    <w:rsid w:val="00EE6BA3"/>
    <w:rsid w:val="00F25A40"/>
    <w:rsid w:val="00F65323"/>
    <w:rsid w:val="00FE1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4B38C-95C6-44E6-BBF4-277E8683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65323"/>
    <w:rPr>
      <w:color w:val="0000FF"/>
      <w:u w:val="single"/>
    </w:rPr>
  </w:style>
  <w:style w:type="paragraph" w:customStyle="1" w:styleId="h5">
    <w:name w:val="h5"/>
    <w:basedOn w:val="Normale"/>
    <w:rsid w:val="00D024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lit-word-inner">
    <w:name w:val="split-word-inner"/>
    <w:basedOn w:val="Carpredefinitoparagrafo"/>
    <w:rsid w:val="00D02459"/>
  </w:style>
  <w:style w:type="character" w:customStyle="1" w:styleId="split-word-empty">
    <w:name w:val="split-word-empty"/>
    <w:basedOn w:val="Carpredefinitoparagrafo"/>
    <w:rsid w:val="00D02459"/>
  </w:style>
  <w:style w:type="paragraph" w:styleId="Intestazione">
    <w:name w:val="header"/>
    <w:basedOn w:val="Normale"/>
    <w:link w:val="IntestazioneCarattere"/>
    <w:unhideWhenUsed/>
    <w:rsid w:val="003A5D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A5D7F"/>
  </w:style>
  <w:style w:type="paragraph" w:styleId="Pidipagina">
    <w:name w:val="footer"/>
    <w:basedOn w:val="Normale"/>
    <w:link w:val="PidipaginaCarattere"/>
    <w:unhideWhenUsed/>
    <w:rsid w:val="003A5D7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A5D7F"/>
  </w:style>
  <w:style w:type="character" w:styleId="Enfasigrassetto">
    <w:name w:val="Strong"/>
    <w:basedOn w:val="Carpredefinitoparagrafo"/>
    <w:uiPriority w:val="22"/>
    <w:qFormat/>
    <w:rsid w:val="003A5D7F"/>
    <w:rPr>
      <w:b/>
      <w:bCs/>
    </w:rPr>
  </w:style>
  <w:style w:type="paragraph" w:styleId="Testonormale">
    <w:name w:val="Plain Text"/>
    <w:basedOn w:val="Normale"/>
    <w:link w:val="TestonormaleCarattere"/>
    <w:uiPriority w:val="99"/>
    <w:semiHidden/>
    <w:unhideWhenUsed/>
    <w:rsid w:val="000B33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0B33F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758058">
      <w:bodyDiv w:val="1"/>
      <w:marLeft w:val="0"/>
      <w:marRight w:val="0"/>
      <w:marTop w:val="0"/>
      <w:marBottom w:val="0"/>
      <w:divBdr>
        <w:top w:val="none" w:sz="0" w:space="0" w:color="auto"/>
        <w:left w:val="none" w:sz="0" w:space="0" w:color="auto"/>
        <w:bottom w:val="none" w:sz="0" w:space="0" w:color="auto"/>
        <w:right w:val="none" w:sz="0" w:space="0" w:color="auto"/>
      </w:divBdr>
      <w:divsChild>
        <w:div w:id="633948814">
          <w:marLeft w:val="0"/>
          <w:marRight w:val="0"/>
          <w:marTop w:val="0"/>
          <w:marBottom w:val="0"/>
          <w:divBdr>
            <w:top w:val="none" w:sz="0" w:space="0" w:color="auto"/>
            <w:left w:val="none" w:sz="0" w:space="0" w:color="auto"/>
            <w:bottom w:val="none" w:sz="0" w:space="0" w:color="auto"/>
            <w:right w:val="none" w:sz="0" w:space="0" w:color="auto"/>
          </w:divBdr>
        </w:div>
      </w:divsChild>
    </w:div>
    <w:div w:id="1549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onfindustria.it/comunica/NewsCirc.nsf/e65acb38763975c0c1256974004b3660/ed9db59a131554fbc1256d2b004a3bee/Body/0.2634?OpenElement&amp;FieldElemFormat=gi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2</cp:revision>
  <dcterms:created xsi:type="dcterms:W3CDTF">2023-08-03T10:26:00Z</dcterms:created>
  <dcterms:modified xsi:type="dcterms:W3CDTF">2023-08-03T13:36:00Z</dcterms:modified>
</cp:coreProperties>
</file>